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4F" w:rsidRDefault="007F584F" w:rsidP="007F58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584F" w:rsidRDefault="007F584F" w:rsidP="007F58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02D6" w:rsidRDefault="00E07012" w:rsidP="007F58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8663044"/>
            <wp:effectExtent l="19050" t="0" r="5715" b="0"/>
            <wp:docPr id="1" name="Рисунок 1" descr="C:\Users\Soprunenko-OA\Desktop\2016-06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runenko-OA\Desktop\2016-06-28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012" w:rsidRDefault="00E07012" w:rsidP="007F58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7012" w:rsidRDefault="00E07012" w:rsidP="007F584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07012" w:rsidSect="00E07012">
          <w:pgSz w:w="11906" w:h="16838"/>
          <w:pgMar w:top="851" w:right="851" w:bottom="1418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8663044"/>
            <wp:effectExtent l="19050" t="0" r="5715" b="0"/>
            <wp:docPr id="2" name="Рисунок 2" descr="C:\Users\Soprunenko-OA\Desktop\2016-06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runenko-OA\Desktop\2016-06-2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B1" w:rsidRPr="00F72EB1" w:rsidRDefault="00F72EB1" w:rsidP="00F72E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72EB1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УТВЕРЖДЕНЫ </w:t>
      </w:r>
    </w:p>
    <w:p w:rsidR="00F72EB1" w:rsidRDefault="00F72EB1" w:rsidP="00F72E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72EB1">
        <w:rPr>
          <w:rFonts w:ascii="Times New Roman" w:hAnsi="Times New Roman" w:cs="Times New Roman"/>
          <w:sz w:val="18"/>
          <w:szCs w:val="18"/>
        </w:rPr>
        <w:t>приказом департамента по</w:t>
      </w:r>
    </w:p>
    <w:p w:rsidR="00F72EB1" w:rsidRDefault="00F72EB1" w:rsidP="00F72E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72EB1">
        <w:rPr>
          <w:rFonts w:ascii="Times New Roman" w:hAnsi="Times New Roman" w:cs="Times New Roman"/>
          <w:sz w:val="18"/>
          <w:szCs w:val="18"/>
        </w:rPr>
        <w:t xml:space="preserve"> чрезвычайным ситуациям Кемеровской области</w:t>
      </w:r>
    </w:p>
    <w:p w:rsidR="00F72EB1" w:rsidRPr="00F72EB1" w:rsidRDefault="00F72EB1" w:rsidP="00F72EB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</w:t>
      </w:r>
      <w:r w:rsidR="00A529E6">
        <w:rPr>
          <w:rFonts w:ascii="Times New Roman" w:hAnsi="Times New Roman" w:cs="Times New Roman"/>
          <w:sz w:val="18"/>
          <w:szCs w:val="18"/>
        </w:rPr>
        <w:t xml:space="preserve"> 22 июня 2016 г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="00A529E6">
        <w:rPr>
          <w:rFonts w:ascii="Times New Roman" w:hAnsi="Times New Roman" w:cs="Times New Roman"/>
          <w:sz w:val="18"/>
          <w:szCs w:val="18"/>
        </w:rPr>
        <w:t>21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"/>
        <w:gridCol w:w="1062"/>
        <w:gridCol w:w="1778"/>
        <w:gridCol w:w="684"/>
        <w:gridCol w:w="957"/>
        <w:gridCol w:w="1739"/>
        <w:gridCol w:w="1680"/>
        <w:gridCol w:w="2005"/>
        <w:gridCol w:w="46"/>
        <w:gridCol w:w="1914"/>
        <w:gridCol w:w="25"/>
        <w:gridCol w:w="2409"/>
      </w:tblGrid>
      <w:tr w:rsidR="00CC1446" w:rsidRPr="00CC1446" w:rsidTr="005964FA">
        <w:trPr>
          <w:trHeight w:val="620"/>
        </w:trPr>
        <w:tc>
          <w:tcPr>
            <w:tcW w:w="147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46" w:rsidRPr="006D77F9" w:rsidRDefault="009C1E30" w:rsidP="009C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F9">
              <w:rPr>
                <w:rFonts w:ascii="Times New Roman" w:hAnsi="Times New Roman" w:cs="Times New Roman"/>
                <w:sz w:val="24"/>
                <w:szCs w:val="24"/>
              </w:rPr>
              <w:t>Требования к закупаемым департаментом по чрезвычайным ситуациям Кемеровской области и подведомственными ему казенными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CC1446" w:rsidRPr="00CC1446" w:rsidTr="005964FA">
        <w:trPr>
          <w:trHeight w:val="649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отдельного вида товаров, работ услуг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6D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 потребительским свойствам ( в том числе качеству) и иным характеристик</w:t>
            </w:r>
            <w:r w:rsidR="00637C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CC1446" w:rsidRPr="00CC1446" w:rsidTr="005964FA">
        <w:trPr>
          <w:trHeight w:val="232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6D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 характеристики</w:t>
            </w:r>
          </w:p>
        </w:tc>
      </w:tr>
      <w:tr w:rsidR="00CC1446" w:rsidRPr="00CC1446" w:rsidTr="005964FA">
        <w:trPr>
          <w:trHeight w:val="939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Помощники (Советники)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Обеспечивающие специалисты</w:t>
            </w:r>
            <w:r w:rsidR="001A1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работники подведомственных учреждений</w:t>
            </w:r>
          </w:p>
        </w:tc>
      </w:tr>
      <w:tr w:rsidR="00CC1446" w:rsidRPr="00CC1446" w:rsidTr="005964FA">
        <w:trPr>
          <w:trHeight w:val="27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46" w:rsidRPr="00CC1446" w:rsidRDefault="00CC1446" w:rsidP="00CC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144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EF4A79" w:rsidRPr="00CC1446" w:rsidTr="005964FA">
        <w:trPr>
          <w:trHeight w:val="1937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сабноутбуки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поддержки 3G (UMTS), тип видеоадаптера, время работы, операционная система, предустановленное программное </w:t>
            </w:r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обеспечение,.</w:t>
            </w:r>
            <w:proofErr w:type="gramEnd"/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Экран с матрицей IPS не более 17 дюймов по диагонали (для ноутбука), не более 12,9 дюймов по диагонали </w:t>
            </w:r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для</w:t>
            </w:r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планшетного компьютера). Вес не менее 1 кг (для ноутбука), не менее 200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планшетного компьютера). Тип процессора многоядерный. Частота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процессорв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более 4ГГц. Размер оперативной памяти не более 16 ГБ. Объем накопителя не более 2000Гб. Тип жесткого диска HDD/SSD/. Оптический привод DVD-RW. Наличие модулей WI-FI,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поддержка 3G (UMTS). Тип видеоадаптера дискретный. Автономное время работы с текстом не более 10ч (для ноутбука), не более 13ч (для планшетного компьютера). Последняя версия операционной системы, предназначенная для использования в органах исполнительной власти. Комплект офисных программ (текстовый процессор, табличный процессор, программа для работы с сообщениями электронной почты и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т.п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F4A79" w:rsidRPr="00CC1446" w:rsidTr="005964FA">
        <w:trPr>
          <w:trHeight w:val="626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893B1B" w:rsidRDefault="00EF4A79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EF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Ноутбук не более 45 тыс. руб. Планшетный компьютер не более 15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</w:tr>
      <w:tr w:rsidR="00EF4A79" w:rsidRPr="00CC1446" w:rsidTr="005964FA">
        <w:trPr>
          <w:trHeight w:val="482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893B1B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Моноблок /системный блок и монитор. Размер экрана/монитора не более 25 дюймов по диагонали. Тип процессора многоядерный. Частота процессора не более 4 </w:t>
            </w:r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ГГц .</w:t>
            </w:r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Размер оперативной памяти не более 16 ГБ. Объем накопителя не более 2000Гб. Тип жесткого диска HDD. Оптический привод DVD-RW. Тип адаптера: дискретный или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итегрированный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Последняя версия операционной системы, предназначенная для использования в органах исполнительной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власти.Комплект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офисных программ </w:t>
            </w:r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текстовый</w:t>
            </w:r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процессор, табличный процессор, программа для работы с сообщениями электронной почты и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т.п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F4A79" w:rsidRPr="00CC1446" w:rsidTr="005964FA">
        <w:trPr>
          <w:trHeight w:val="564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9" w:rsidRPr="00CC1446" w:rsidRDefault="00EF4A79" w:rsidP="00CC14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9" w:rsidRPr="00CC1446" w:rsidRDefault="00EF4A79" w:rsidP="00CC14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79" w:rsidRPr="00CC1446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CC1446" w:rsidRDefault="00EF4A79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79" w:rsidRPr="00CC1446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CC1446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79" w:rsidRPr="00CC1446" w:rsidRDefault="00EF4A79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Моноблок 48 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Системный блок с монитором 40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CC1446" w:rsidRPr="00CC1446" w:rsidTr="00B6761D">
        <w:trPr>
          <w:trHeight w:val="50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печати струйный или лазерный. Разрешение сканирования 2400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Цветность черно-белый или 4-х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Максимальный формат А4. Скорость печати (сканирования) не более 50 страниц в минуту.  Наличие дополнительных модулей и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итерфейсов:Сетевой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интерфейс, устройства чтения карт-памяти, разъем USB, устройство автоматической двусторонней печати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печати струйный или лазерный. Разрешение сканирования 1200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Цветность черно-белый или 4-х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Максимальный формат А4. Скорость печати (сканирования) не более 50 страниц в минуту.  Наличие дополнительных модулей и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итерфейсов:Сетевой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интерфейс, устройства чтения карт-памяти, разъем USB, устройство автоматической двусторонней печати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печати струйный или лазерный. Разрешение сканирования 1200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Цветность черно-белый или 4-х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Максимальный формат А4. Скорость печати (сканирования) не более 50 страниц в минуту.  Наличие дополнительных модулей и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итерфейсов:Сетевой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интерфейс, устройства чтения карт-памяти, разъем USB, устройство автоматической двусторонней печати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печати струйный или лазерный. Разрешение сканирования 600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Цветность черно-белый или 4-х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Максимальный формат А4. Скорость печати (сканирования) не более 50 страниц в минуту.  Наличие дополнительных модулей и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итерфейсов:Сетевой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интерфейс, устройства чтения карт-памяти, разъем USB, устройство автоматической двусторонней печати </w:t>
            </w:r>
          </w:p>
        </w:tc>
      </w:tr>
      <w:tr w:rsidR="00CC1446" w:rsidRPr="00CC1446" w:rsidTr="00B6761D">
        <w:trPr>
          <w:trHeight w:val="23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CC1446" w:rsidRDefault="00CC1446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 тыс.</w:t>
            </w:r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7тыс.</w:t>
            </w:r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5тыс</w:t>
            </w:r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5тыс.</w:t>
            </w:r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F4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CC1446" w:rsidRPr="00CC1446" w:rsidTr="00B6761D">
        <w:trPr>
          <w:trHeight w:val="66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устройства телефон/смартфон. Поддерживаемые стандарты GSM 900/1800/1900, UMTS? LTE. Операционная система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Android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Не более 30 часов в активном режиме разговора. Метод управления сенсорный/кнопочный/смешанный. Количество SIM-карт не более 2-х. Наличие модулей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-FI,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USB,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GPSстоимость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не более 1,5 тыс.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устройства телефон/смартфон. Поддерживаемые стандарты GSM 900/1800/1900, UMTS? LTE. Операционная система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Android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Не более 30 часов в активном режиме разговора. Метод управления сенсорный/кнопочный/смешанный. Количество SIM-карт не более 2-х. Наличие модулей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-FI,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USB,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GPSстоимость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не более 1,5 тыс.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устройства телефон/смартфон. Поддерживаемые стандарты GSM 900/1800/1900, UMTS? LTE. Операционная система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Android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Не более 30 часов в активном режиме разговора. Метод управления сенсорный/кнопочный/смешанный. Количество SIM-карт не более 2-х. Наличие модулей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-FI,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USB,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GPSстоимость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не более 1,5 тыс.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устройства телефон/смартфон. Поддерживаемые стандарты GSM 900/1800/1900, UMTS? LTE. Операционная система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Android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Не более 30 часов в активном режиме разговора. Метод управления сенсорный/кнопочный/смешанный. Количество SIM-карт не более 2-х. Наличие модулей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-FI,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USB,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GPSстоимость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не более 1,5 тыс.</w:t>
            </w:r>
          </w:p>
        </w:tc>
      </w:tr>
      <w:tr w:rsidR="00B6761D" w:rsidRPr="00CC1446" w:rsidTr="001F66CD">
        <w:trPr>
          <w:trHeight w:val="4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200 лошадиных сил</w:t>
            </w: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Комплектация не установлена.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B6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200 лошадиных сил. </w:t>
            </w: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Комплектация не установлена.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61D" w:rsidRPr="00893B1B" w:rsidRDefault="00B6761D" w:rsidP="00B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150 лошадиных сил. </w:t>
            </w: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Комплектация не установлена.</w:t>
            </w:r>
          </w:p>
        </w:tc>
      </w:tr>
      <w:tr w:rsidR="00B6761D" w:rsidRPr="00CC1446" w:rsidTr="002741D3">
        <w:trPr>
          <w:trHeight w:val="407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1D" w:rsidRPr="00893B1B" w:rsidRDefault="00B6761D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61D" w:rsidRPr="00893B1B" w:rsidRDefault="00B6761D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61D" w:rsidRPr="00893B1B" w:rsidRDefault="00B6761D" w:rsidP="00E6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61D" w:rsidRPr="00893B1B" w:rsidRDefault="00B6761D" w:rsidP="00E6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E6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более 2,5млн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1D" w:rsidRPr="00893B1B" w:rsidRDefault="00B6761D" w:rsidP="00B6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61D" w:rsidRPr="00893B1B" w:rsidRDefault="00B6761D" w:rsidP="00E6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более 1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5964FA" w:rsidRPr="00CC1446" w:rsidTr="005964FA">
        <w:trPr>
          <w:trHeight w:val="43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34.10.30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4FA" w:rsidRPr="00893B1B" w:rsidRDefault="005964FA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Лошадиных сил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мощность двигателя,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59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200</w:t>
            </w:r>
            <w:r w:rsidR="00B676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лошадиных сил</w:t>
            </w:r>
          </w:p>
        </w:tc>
      </w:tr>
      <w:tr w:rsidR="005964FA" w:rsidRPr="00CC1446" w:rsidTr="005964FA">
        <w:trPr>
          <w:trHeight w:val="36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4FA" w:rsidRPr="00893B1B" w:rsidRDefault="005964FA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4FA" w:rsidRPr="00893B1B" w:rsidRDefault="005964FA" w:rsidP="0059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Комплектация не установлена.</w:t>
            </w:r>
          </w:p>
        </w:tc>
      </w:tr>
      <w:tr w:rsidR="00CC1446" w:rsidRPr="00CC1446" w:rsidTr="005964FA">
        <w:trPr>
          <w:trHeight w:val="15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5964FA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кожа;возможные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мебельный (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мех.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замша (микрофибра). Ткань, нетканые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мктериалы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кожа;возможные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значения: мебельный (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мех.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замша (микрофибра). Ткань, нетканые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мктериалы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 ткань: возможные значения: нетканые материалы</w:t>
            </w:r>
          </w:p>
        </w:tc>
      </w:tr>
      <w:tr w:rsidR="00CC1446" w:rsidRPr="00CC1446" w:rsidTr="005964FA">
        <w:trPr>
          <w:trHeight w:val="18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5964FA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(вид древесины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древисина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мягко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лиственныхт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 -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древисина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пород: </w:t>
            </w:r>
            <w:proofErr w:type="spellStart"/>
            <w:proofErr w:type="gram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береза,лиственница</w:t>
            </w:r>
            <w:proofErr w:type="spellEnd"/>
            <w:proofErr w:type="gram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сосна, ель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Возможное значение-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древисина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мягко-лиственных пород: береза, лиственница, сосна, ель</w:t>
            </w:r>
          </w:p>
        </w:tc>
      </w:tr>
      <w:tr w:rsidR="00CC1446" w:rsidRPr="00CC1446" w:rsidTr="005964FA">
        <w:trPr>
          <w:trHeight w:val="15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значение-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кожа; возможные значения; мебельный (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мех,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замша (микрофибра), ткань,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нетканные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материалы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значение-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кожа; возможные значения; мебельный (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искуственный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мех,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искуственная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замша (микрофибра), ткань,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нетканные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материалы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значение- ткань, возможное значение: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нетканные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материалы</w:t>
            </w:r>
          </w:p>
        </w:tc>
      </w:tr>
      <w:tr w:rsidR="00CC1446" w:rsidRPr="00CC1446" w:rsidTr="005964FA">
        <w:trPr>
          <w:trHeight w:val="137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893B1B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древисина</w:t>
            </w:r>
            <w:proofErr w:type="spellEnd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древисина</w:t>
            </w:r>
            <w:proofErr w:type="spellEnd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Возможные значения -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древисина</w:t>
            </w:r>
            <w:proofErr w:type="spellEnd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хвойных и </w:t>
            </w:r>
            <w:proofErr w:type="spellStart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мягколиственных</w:t>
            </w:r>
            <w:proofErr w:type="spellEnd"/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пород</w:t>
            </w:r>
          </w:p>
        </w:tc>
      </w:tr>
      <w:tr w:rsidR="00CC1446" w:rsidRPr="00CC1446" w:rsidTr="005964FA">
        <w:trPr>
          <w:trHeight w:val="96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893B1B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55.10.10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гостиниц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Гостиничные номера в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соответствиии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Российской системой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класиификации</w:t>
            </w:r>
            <w:proofErr w:type="spellEnd"/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гостиничных номеров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-номер первой категории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-номер первой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-номер первой категории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-номер первой категории</w:t>
            </w:r>
          </w:p>
        </w:tc>
      </w:tr>
      <w:tr w:rsidR="00CC1446" w:rsidRPr="00CC1446" w:rsidTr="005964FA">
        <w:trPr>
          <w:trHeight w:val="38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893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3B1B"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60.22.12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автомобиля в сутки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59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3,65 тыс.</w:t>
            </w:r>
            <w:r w:rsidR="005964FA"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964FA"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="005964FA"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59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1,63 тыс.</w:t>
            </w:r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сутки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59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1,35 тыс.</w:t>
            </w:r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59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1,35 тыс.</w:t>
            </w:r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="00596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C1446" w:rsidRPr="00CC1446" w:rsidTr="005964FA">
        <w:trPr>
          <w:trHeight w:val="387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арендная плата в сутки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2 </w:t>
            </w:r>
            <w:proofErr w:type="spellStart"/>
            <w:r w:rsidRP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1,3 тыс. </w:t>
            </w:r>
            <w:proofErr w:type="spellStart"/>
            <w:r w:rsid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0,7 тыс.</w:t>
            </w:r>
            <w:r w:rsid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0,65 тыс.</w:t>
            </w:r>
            <w:r w:rsidR="0089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</w:t>
            </w:r>
          </w:p>
        </w:tc>
      </w:tr>
      <w:tr w:rsidR="00CC1446" w:rsidRPr="00CC1446" w:rsidTr="005964FA">
        <w:trPr>
          <w:trHeight w:val="7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93B1B"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62.10.10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пассажирским перевозкам воздушным транспортом, подчиняющимся расписанию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893B1B" w:rsidRDefault="00E602D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3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значение-эконом-класс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значение-эконом-класс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значение-эконом-класс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46" w:rsidRPr="00CC1446" w:rsidRDefault="00CC1446" w:rsidP="00CC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значение-эконом-класс</w:t>
            </w:r>
          </w:p>
        </w:tc>
      </w:tr>
    </w:tbl>
    <w:p w:rsidR="00270CB1" w:rsidRDefault="00270CB1"/>
    <w:p w:rsidR="00E11499" w:rsidRDefault="00E11499"/>
    <w:p w:rsidR="00E11499" w:rsidRDefault="00E11499"/>
    <w:p w:rsidR="00E11499" w:rsidRDefault="00E11499"/>
    <w:p w:rsidR="00E602D6" w:rsidRDefault="00E602D6" w:rsidP="00E11499">
      <w:pPr>
        <w:pStyle w:val="ConsPlusCell"/>
        <w:contextualSpacing/>
        <w:jc w:val="center"/>
        <w:rPr>
          <w:b/>
          <w:sz w:val="28"/>
          <w:szCs w:val="28"/>
        </w:rPr>
        <w:sectPr w:rsidR="00E602D6" w:rsidSect="00E602D6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E11499" w:rsidRDefault="00E11499"/>
    <w:p w:rsidR="00E11499" w:rsidRDefault="00E11499"/>
    <w:p w:rsidR="00E11499" w:rsidRDefault="00E11499"/>
    <w:p w:rsidR="00E11499" w:rsidRDefault="00E11499"/>
    <w:p w:rsidR="00E11499" w:rsidRDefault="00E11499"/>
    <w:sectPr w:rsidR="00E11499" w:rsidSect="00E602D6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6B10"/>
    <w:multiLevelType w:val="hybridMultilevel"/>
    <w:tmpl w:val="E54E6EF4"/>
    <w:lvl w:ilvl="0" w:tplc="F32ED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066B8"/>
    <w:multiLevelType w:val="hybridMultilevel"/>
    <w:tmpl w:val="F6A499C8"/>
    <w:lvl w:ilvl="0" w:tplc="693CC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446"/>
    <w:rsid w:val="00037AEE"/>
    <w:rsid w:val="00056E60"/>
    <w:rsid w:val="000615D1"/>
    <w:rsid w:val="00077D4F"/>
    <w:rsid w:val="000F6806"/>
    <w:rsid w:val="001A1A2B"/>
    <w:rsid w:val="001D36B7"/>
    <w:rsid w:val="002629A3"/>
    <w:rsid w:val="00270CB1"/>
    <w:rsid w:val="00337E4D"/>
    <w:rsid w:val="003601B4"/>
    <w:rsid w:val="003B174D"/>
    <w:rsid w:val="00457BD2"/>
    <w:rsid w:val="005964FA"/>
    <w:rsid w:val="00601AA4"/>
    <w:rsid w:val="00637C10"/>
    <w:rsid w:val="006526FE"/>
    <w:rsid w:val="006A1728"/>
    <w:rsid w:val="006D77F9"/>
    <w:rsid w:val="007519C7"/>
    <w:rsid w:val="007D27EF"/>
    <w:rsid w:val="007F584F"/>
    <w:rsid w:val="008663CC"/>
    <w:rsid w:val="00893B1B"/>
    <w:rsid w:val="008B2ADA"/>
    <w:rsid w:val="008C1B6A"/>
    <w:rsid w:val="009106A0"/>
    <w:rsid w:val="009C1E30"/>
    <w:rsid w:val="00A0443B"/>
    <w:rsid w:val="00A529E6"/>
    <w:rsid w:val="00B024CE"/>
    <w:rsid w:val="00B13563"/>
    <w:rsid w:val="00B47205"/>
    <w:rsid w:val="00B6761D"/>
    <w:rsid w:val="00B84567"/>
    <w:rsid w:val="00C25367"/>
    <w:rsid w:val="00CC1446"/>
    <w:rsid w:val="00D46F83"/>
    <w:rsid w:val="00E03C86"/>
    <w:rsid w:val="00E07012"/>
    <w:rsid w:val="00E11499"/>
    <w:rsid w:val="00E2765D"/>
    <w:rsid w:val="00E503D6"/>
    <w:rsid w:val="00E602D6"/>
    <w:rsid w:val="00E92EC2"/>
    <w:rsid w:val="00EE5765"/>
    <w:rsid w:val="00EF4A79"/>
    <w:rsid w:val="00F7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65153-4C81-4E83-9DA4-DFAB6185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B1"/>
  </w:style>
  <w:style w:type="paragraph" w:styleId="1">
    <w:name w:val="heading 1"/>
    <w:basedOn w:val="a"/>
    <w:next w:val="a"/>
    <w:link w:val="10"/>
    <w:qFormat/>
    <w:rsid w:val="007F584F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4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F584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F5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F5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F584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F5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5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84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5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1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Soprunenko-OA</dc:creator>
  <cp:lastModifiedBy>Афанасьева Светлана Витальевна</cp:lastModifiedBy>
  <cp:revision>31</cp:revision>
  <cp:lastPrinted>2016-06-24T07:14:00Z</cp:lastPrinted>
  <dcterms:created xsi:type="dcterms:W3CDTF">2016-03-24T07:26:00Z</dcterms:created>
  <dcterms:modified xsi:type="dcterms:W3CDTF">2017-01-16T04:56:00Z</dcterms:modified>
</cp:coreProperties>
</file>